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RAIL VISION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Israel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 Ra’anana, 4366517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 Amended Share Option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 Suite 204, Newark, DE 19711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(302) 738-6680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150"/>
        <w:gridCol w:w="60"/>
        <w:gridCol w:w="2150"/>
      </w:tblGrid>
      <w:tr>
        <w:trPr/>
        <w:tc>
          <w:tcPr>
            <w:tcW w:w="21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Huberman,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Soumas, Esq.</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Ron Soulema, Adv.</w:t>
            </w:r>
          </w:p>
        </w:tc>
      </w:tr>
      <w:tr>
        <w:trPr/>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P.A.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Gal Rahav, Adv.</w:t>
            </w:r>
          </w:p>
        </w:tc>
      </w:tr>
      <w:tr>
        <w:trPr/>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Azrieli Center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Shibolet Law Firm</w:t>
            </w:r>
          </w:p>
        </w:tc>
      </w:tr>
      <w:tr>
        <w:trPr/>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 Tower, 30th floor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Yitzhak Sadeh St.</w:t>
            </w:r>
          </w:p>
        </w:tc>
      </w:tr>
      <w:tr>
        <w:trPr/>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 Menachem Begin Rd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Tel-Aviv 6777504, Israel</w:t>
            </w:r>
          </w:p>
        </w:tc>
      </w:tr>
      <w:tr>
        <w:trPr/>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 6701101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+972-3-3075000</w:t>
            </w:r>
          </w:p>
        </w:tc>
      </w:tr>
      <w:tr>
        <w:trPr/>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312-364-1633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Ltd. (the “Company” or the “Registrant”) previously filed with the Securities and Exchange Commission (the “Commission”) a registration statement on Form S-8 (File No. 333-265968) to register under the Securities Act of 1933, as amended (the “Securities Act”) an aggregate of 9,625 ordinary shares of the Registrant (the “Ordinary Shares”) issuable under the Rail Vision Ltd. Amended Share Option Plan (the “Plan”). In August 2024, the Company filed another registration statement on Form S-8 (SEC File No. 333-281329) in connection with the registration of an additional 133,333 Ordinary Shares issuable under the Plan. In April 2025, the Company filed another registration statement on Form S-8 (SEC File No. 333-286652) in connection with the registration of an additional 166,667 Ordinary Shares issuable under the Plan. The previously-filed registration statements are referred to herein as the “Prior Registration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the Company effected a one-for-eight (1-for-8) reverse stock split of its ordinary shares (the “2023 Reverse Split”) which adjusted the number of shares reserved under the Plan. On August 6, 2024, the Company’s Board of Directors approved an amendment to the Plan in order to increase the number of shares reserved under the Plan to 142,958. On April 20, 2025, the Company’s Board of Directors, approved an amendment to the Plan providing for an increase of 166,667 Ordinary Shares in the number of Ordinary Shares available for issuance under the Plan. On February 4, 2026, the Company effected a one-for-thirty (1-for-30) reverse stock split of its ordinary shares (the “2026 Reverse Split”, and together with the 2023 Reverse Split, the “Reverse Splits”) which adjusted the number of shares reserved under the Plan, and on September 10, 2026, the Company’s Board of Directors approved an amendment to the Plan providing for an increase of 270,000 Ordinary Shares in the number of Ordinary Shares available for issuance under the Plan. The number of shares issuable pursuant to Plan were adjusted proportionally as a result of the Reverse Splits. The number of Ordinary Shares registered pursuant to each of the Prior Registration Statements, as described above, has been adjusted to reflect the applicable Reverse Splits.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E to Form S-8, the Company is filing this registration statement on Form S-8 solely to register an additional 270,000 Ordinary Shares, which may be issued under the Plan over and above the number of Ordinary Shares issuable pursuant to the Plan that were registered under the Prior Registration Statements. Pursuant to General Instruction E to Form S-8, the contents of the Prior Registration Statements are hereby incorporated by reference in their entirety, with the exception of Items 3 and 8 of Part II of such Prior Registration Statements, each of which is amended and restated in its entirety herein.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Rail Vision Ltd., an Israeli company (the “</w:t>
      </w:r>
      <w:r>
        <w:rPr>
          <w:rFonts w:ascii="Times New Roman;Times;Serif" w:hAnsi="Times New Roman;Times;Serif"/>
          <w:b/>
          <w:i w:val="false"/>
          <w:caps w:val="false"/>
          <w:smallCaps w:val="false"/>
          <w:sz w:val="20"/>
        </w:rPr>
        <w:t>Registrant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are incorporated by reference into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(a) The Registrant’s Annual Report on </w:t>
      </w:r>
      <w:hyperlink r:id="rId2">
        <w:r>
          <w:rPr>
            <w:rStyle w:val="InternetLink"/>
            <w:rFonts w:ascii="Times New Roman;Times;Serif" w:hAnsi="Times New Roman;Times;Serif"/>
            <w:b w:val="false"/>
            <w:i w:val="false"/>
            <w:caps w:val="false"/>
            <w:smallCaps w:val="false"/>
            <w:sz w:val="20"/>
            <w:u w:val="single"/>
          </w:rPr>
          <w:t>Form 20-F</w:t>
        </w:r>
      </w:hyperlink>
      <w:r>
        <w:rPr>
          <w:rFonts w:ascii="Times New Roman;Times;Serif" w:hAnsi="Times New Roman;Times;Serif"/>
          <w:b w:val="false"/>
          <w:i w:val="false"/>
          <w:caps w:val="false"/>
          <w:smallCaps w:val="false"/>
          <w:sz w:val="20"/>
        </w:rPr>
        <w:t xml:space="preserve"> for the year ended December 31, 2025 filed with the SEC on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(b) The Registrant’s Reports on Form 6-K filed with the Commission on </w:t>
      </w:r>
      <w:hyperlink r:id="rId3">
        <w:r>
          <w:rPr>
            <w:rStyle w:val="InternetLink"/>
            <w:rFonts w:ascii="Times New Roman;Times;Serif" w:hAnsi="Times New Roman;Times;Serif"/>
            <w:b w:val="false"/>
            <w:i w:val="false"/>
            <w:caps w:val="false"/>
            <w:smallCaps w:val="false"/>
            <w:sz w:val="20"/>
          </w:rPr>
          <w:t>January 6, 2026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January 14,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January 15,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January 30,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February 6,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February 11,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February 23,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February 24,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March 6,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March 16,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March 24,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May 20,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29,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3,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24,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August 26,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September 3, 2026</w:t>
        </w:r>
      </w:hyperlink>
      <w:r>
        <w:rPr>
          <w:rFonts w:ascii="Times New Roman;Times;Serif" w:hAnsi="Times New Roman;Times;Serif"/>
          <w:b w:val="false"/>
          <w:i w:val="false"/>
          <w:caps w:val="false"/>
          <w:smallCaps w:val="false"/>
          <w:sz w:val="20"/>
        </w:rPr>
        <w:t xml:space="preserve"> and </w:t>
      </w:r>
      <w:hyperlink r:id="rId21">
        <w:r>
          <w:rPr>
            <w:rStyle w:val="InternetLink"/>
            <w:rFonts w:ascii="Times New Roman;Times;Serif" w:hAnsi="Times New Roman;Times;Serif"/>
            <w:b w:val="false"/>
            <w:i w:val="false"/>
            <w:caps w:val="false"/>
            <w:smallCaps w:val="false"/>
            <w:sz w:val="20"/>
          </w:rPr>
          <w:t>September 9, 2026</w:t>
        </w:r>
      </w:hyperlink>
      <w:r>
        <w:rPr>
          <w:rFonts w:ascii="Times New Roman;Times;Serif" w:hAnsi="Times New Roman;Times;Serif"/>
          <w:b w:val="false"/>
          <w:i w:val="false"/>
          <w:caps w:val="false"/>
          <w:smallCaps w:val="false"/>
          <w:sz w:val="20"/>
        </w:rPr>
        <w:t xml:space="preserve"> (File No. 001-41334) (to the extent expressly incorporated by reference into the Registrant’s effective registration statements filed by us under the Securities Act);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(c) The description of the Registrant’s ordinary shares, no par value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which is contained in the Registrant’s Registration Statement on </w:t>
      </w:r>
      <w:hyperlink r:id="rId2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on March 25, 2022 (File No. 001-41334), as amended by </w:t>
      </w:r>
      <w:hyperlink r:id="rId23">
        <w:r>
          <w:rPr>
            <w:rStyle w:val="InternetLink"/>
            <w:rFonts w:ascii="Times New Roman;Times;Serif" w:hAnsi="Times New Roman;Times;Serif"/>
            <w:b w:val="false"/>
            <w:i w:val="false"/>
            <w:caps w:val="false"/>
            <w:smallCaps w:val="false"/>
            <w:sz w:val="20"/>
            <w:u w:val="single"/>
          </w:rPr>
          <w:t>Exhibit 2.1</w:t>
        </w:r>
      </w:hyperlink>
      <w:r>
        <w:rPr>
          <w:rFonts w:ascii="Times New Roman;Times;Serif" w:hAnsi="Times New Roman;Times;Serif"/>
          <w:b w:val="false"/>
          <w:i w:val="false"/>
          <w:caps w:val="false"/>
          <w:smallCaps w:val="false"/>
          <w:sz w:val="20"/>
        </w:rPr>
        <w:t xml:space="preserve"> to the Registrant’s Annual Report on Form 20-F for the year ended December 31, 2025, and including any further amendment or report filed for the purpose of updating such description.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all documents subsequently filed by the Registrant pursuant to Sections 13(a), 13(c), 14 and 15(d) of the Exchange Act, and all reports on Form 6-K subsequently filed by the Registrant which state that they are incorporated by reference herein, prior to the filing of a post- 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
        <w:gridCol w:w="9764"/>
      </w:tblGrid>
      <w:tr>
        <w:trPr/>
        <w:tc>
          <w:tcPr>
            <w:tcW w:w="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764"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u w:val="single"/>
                </w:rPr>
                <w:t>Amended and Restated Articles of Association of the Company, as currently in effect (included as Exhibit 99.1 to our Report on Form 6-K furnished to the Securities and Exchange Commission on September 30, 2024 and incorporated herein by reference).</w:t>
              </w:r>
            </w:hyperlink>
          </w:p>
        </w:tc>
      </w:tr>
      <w:tr>
        <w:trPr/>
        <w:tc>
          <w:tcPr>
            <w:tcW w:w="4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764"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u w:val="single"/>
                </w:rPr>
                <w:t>Opinion of Shibolet &amp; Co., Israeli counsel to Rail Vision Ltd.</w:t>
              </w:r>
            </w:hyperlink>
          </w:p>
        </w:tc>
      </w:tr>
      <w:tr>
        <w:trPr/>
        <w:tc>
          <w:tcPr>
            <w:tcW w:w="4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764" w:type="dxa"/>
            <w:tcBorders/>
            <w:shd w:fill="CCEEFF" w:val="cle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u w:val="single"/>
                </w:rPr>
                <w:t>Consent of Brightman Almagor Zohar &amp; Co., independent registered public accounting firm, and a firm in the Deloitte Global Network.</w:t>
              </w:r>
            </w:hyperlink>
          </w:p>
        </w:tc>
      </w:tr>
      <w:tr>
        <w:trPr/>
        <w:tc>
          <w:tcPr>
            <w:tcW w:w="4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764"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u w:val="single"/>
                </w:rPr>
                <w:t>Consent of Shibolet &amp; Co, Israeli counsel to Rail Vision Ltd. (included in the opinion filed as Exhibit 5.1 to this Registration Statement).</w:t>
              </w:r>
            </w:hyperlink>
          </w:p>
        </w:tc>
      </w:tr>
      <w:tr>
        <w:trPr/>
        <w:tc>
          <w:tcPr>
            <w:tcW w:w="4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764"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u w:val="single"/>
                </w:rPr>
                <w:t>Power of Attorney (included on signature page).</w:t>
              </w:r>
            </w:hyperlink>
          </w:p>
        </w:tc>
      </w:tr>
      <w:tr>
        <w:trPr/>
        <w:tc>
          <w:tcPr>
            <w:tcW w:w="4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764"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u w:val="single"/>
                </w:rPr>
                <w:t>Rail Vision Ltd. Amended Share Option Plan, amended as of March 28, 2024 (filed as Exhibit 4.4 to our Report on Form 20-F furnished to the Securities and Exchange Commission on March 28, 2024 and incorporated herein by reference).</w:t>
              </w:r>
            </w:hyperlink>
          </w:p>
        </w:tc>
      </w:tr>
      <w:tr>
        <w:trPr/>
        <w:tc>
          <w:tcPr>
            <w:tcW w:w="4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764" w:type="dxa"/>
            <w:tcBorders/>
            <w:shd w:fill="CCEEFF" w:val="cle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u w:val="single"/>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Rehovot, State of Israel, on September 14,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Ben David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Ben David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Rail Vision, Ltd., hereby severally constitute and appoint David Ben David and Ofer Naveh,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Securities and Exchange Commission, granting unto said attorney full power and authority to do and perform each and every act and thing requisite or necessary to be done in and about the premises, as fully to all intents and purposes as he or she might or could do in person, hereby ratifying and confirming our signatures to said amendments to this Registration Statement signed by our said attorney and all else that said attorney may lawfully do and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on Form S-8 has been signed below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28" w:type="dxa"/>
          <w:right w:w="0" w:type="dxa"/>
        </w:tblCellMar>
      </w:tblPr>
      <w:tblGrid>
        <w:gridCol w:w="1820"/>
        <w:gridCol w:w="60"/>
        <w:gridCol w:w="4910"/>
        <w:gridCol w:w="60"/>
        <w:gridCol w:w="1655"/>
      </w:tblGrid>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Ben David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Ben David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executive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Ofer Naveh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Naveh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and principal accounting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Eli Yoresh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 Yoresh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Oz Adler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Oz Adler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Yossi Daskal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Yossi Daskal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Ariel Dor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Ariel Dor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Hila Kiron-Revach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Hila Kiron-Revach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Shahar Hania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Shahar Hania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Puglisi &amp; Associates, the duly authorized representative in the United States of Rail Vision Ltd., has signed this Registration Statement on Form S-8 on September 14, 2026.</w:t>
      </w:r>
    </w:p>
    <w:p>
      <w:pPr>
        <w:pStyle w:val="TextBody"/>
        <w:bidi w:val="0"/>
        <w:spacing w:before="0" w:after="0"/>
        <w:ind w:left="0" w:right="0" w:firstLine="360"/>
        <w:jc w:val="left"/>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627"/>
        <w:gridCol w:w="1957"/>
      </w:tblGrid>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Puglisi &amp; Associates</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19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Donald J. Puglisi</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 w:name="ex5-1.htm"/>
      <w:bookmarkStart w:id="4" w:name="ks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2457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6"/>
                    <a:stretch>
                      <a:fillRect/>
                    </a:stretch>
                  </pic:blipFill>
                  <pic:spPr bwMode="auto">
                    <a:xfrm>
                      <a:off x="0" y="0"/>
                      <a:ext cx="6124575" cy="6191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tbl>
      <w:tblPr>
        <w:tblW w:w="1700" w:type="dxa"/>
        <w:jc w:val="left"/>
        <w:tblInd w:w="0" w:type="dxa"/>
        <w:tblLayout w:type="fixed"/>
        <w:tblCellMar>
          <w:top w:w="0" w:type="dxa"/>
          <w:left w:w="0" w:type="dxa"/>
          <w:bottom w:w="0" w:type="dxa"/>
          <w:right w:w="0" w:type="dxa"/>
        </w:tblCellMar>
      </w:tblPr>
      <w:tblGrid>
        <w:gridCol w:w="1625"/>
        <w:gridCol w:w="7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Ltd.</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Ha’Tidhar St</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Ra’anana, 4366517</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u w:val="single"/>
        </w:rPr>
        <w:t>Rail Vision Ltd. – Form S-8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Israeli counsel for Rail Vision Ltd., an Israeli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of a Registration Statement on Form S-8 on September 14,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relating to the registration of 270,000 of the Company’s ordinary shares, no par value (the “</w:t>
      </w:r>
      <w:r>
        <w:rPr>
          <w:rFonts w:ascii="Times New Roman;Times;Serif" w:hAnsi="Times New Roman;Times;Serif"/>
          <w:b/>
          <w:i w:val="false"/>
          <w:caps w:val="false"/>
          <w:smallCaps w:val="false"/>
          <w:sz w:val="20"/>
        </w:rPr>
        <w:t>Plan Shares</w:t>
      </w:r>
      <w:r>
        <w:rPr>
          <w:rFonts w:ascii="Times New Roman;Times;Serif" w:hAnsi="Times New Roman;Times;Serif"/>
          <w:b w:val="false"/>
          <w:i w:val="false"/>
          <w:caps w:val="false"/>
          <w:smallCaps w:val="false"/>
          <w:sz w:val="20"/>
        </w:rPr>
        <w:t>”), under the Rail Vision Amended Share Option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 we have examined, and have relied as to factual matters solely upon, originals or copies certified, or otherwise identified to our satisfaction, of such documents, corporate records or other instruments as we have deemed necessary or appropriate for the purposes of this opinion. In our examination we have assumed the genuineness of all signatures, the authenticity of all documents submitted to us as originals, and the conformity with the originals of all documents submitted to us as copies. We have, when relevant facts material to our opinion were not independently established by us, relied to the extent we deemed such reliance proper upon written or oral statements of officers and other representatives of the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opinion expressed herein, no opinion is expressed as to the laws of any jurisdiction other than the State of Israel.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Plan Shares, when issued pursuant to the terms of the Plan, and the terms of any agreements relating to such issuance, will be upon receipt of the consideration provided for in the Plan, validly issued, fully paid and non-assessable.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intended solely for the benefit and use of the Company and other persons who are entitled to rely on the Registration Statement, and is not to be used, released, quoted, or relied upon by anyone else for any purpose (other than as required by law), without our prior written consent.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use of our name wherever appearing in the Registration Statement in connection with Israeli law. In giving such consent, we do not thereby admit that we are in the category of persons whose consent is required under Section 7 of the Act or the rules and regulations of the Securities and Exchange Commission promulgated thereunder.</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805" w:type="dxa"/>
        <w:jc w:val="left"/>
        <w:tblInd w:w="0" w:type="dxa"/>
        <w:tblLayout w:type="fixed"/>
        <w:tblCellMar>
          <w:top w:w="0" w:type="dxa"/>
          <w:left w:w="0" w:type="dxa"/>
          <w:bottom w:w="0" w:type="dxa"/>
          <w:right w:w="0" w:type="dxa"/>
        </w:tblCellMar>
      </w:tblPr>
      <w:tblGrid>
        <w:gridCol w:w="75"/>
        <w:gridCol w:w="1730"/>
      </w:tblGrid>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Shibolet &amp; Co.</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 w:name="ex23-1.htm"/>
      <w:bookmarkStart w:id="6" w:name="ksex231"/>
      <w:bookmarkEnd w:id="5"/>
      <w:bookmarkEnd w:id="6"/>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31, 2026, relating to the financial statements of Rail Vision Ltd. (the “Company”), appearing in the Company’s Annual Report on Form 20-F for the year ended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 Brightman Almagor Zohar &amp; Co</w:t>
      </w:r>
      <w:r>
        <w:rPr>
          <w:rFonts w:ascii="Times New Roman;Times;Serif" w:hAnsi="Times New Roman;Times;Serif"/>
          <w:b w:val="false"/>
          <w:i w:val="false"/>
          <w:caps w:val="false"/>
          <w:smallCaps w:val="false"/>
          <w:sz w:val="20"/>
          <w:u w:val="single"/>
        </w:rPr>
        <w:t>.</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ex107.htm"/>
      <w:bookmarkStart w:id="8" w:name="ksex107"/>
      <w:bookmarkStart w:id="9" w:name="ex107.htm"/>
      <w:bookmarkStart w:id="10" w:name="ksex107"/>
      <w:bookmarkEnd w:id="9"/>
      <w:bookmarkEnd w:id="10"/>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Rail Vision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5"/>
        <w:gridCol w:w="1177"/>
        <w:gridCol w:w="1291"/>
        <w:gridCol w:w="1200"/>
        <w:gridCol w:w="1209"/>
        <w:gridCol w:w="1580"/>
        <w:gridCol w:w="1126"/>
        <w:gridCol w:w="142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80"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5" w:type="dxa"/>
            <w:tcBorders/>
            <w:shd w:fill="E7E7E2" w:val="clear"/>
            <w:vAlign w:val="center"/>
          </w:tcPr>
          <w:p>
            <w:pPr>
              <w:pStyle w:val="TableContents"/>
              <w:bidi w:val="0"/>
              <w:spacing w:before="0" w:after="283"/>
              <w:jc w:val="left"/>
              <w:rPr/>
            </w:pPr>
            <w:r>
              <w:rPr/>
              <w:t xml:space="preserve">Equity </w:t>
            </w:r>
          </w:p>
        </w:tc>
        <w:tc>
          <w:tcPr>
            <w:tcW w:w="1177" w:type="dxa"/>
            <w:tcBorders/>
            <w:shd w:fill="E7E7E2" w:val="clear"/>
            <w:vAlign w:val="center"/>
          </w:tcPr>
          <w:p>
            <w:pPr>
              <w:pStyle w:val="TableContents"/>
              <w:bidi w:val="0"/>
              <w:spacing w:before="0" w:after="283"/>
              <w:jc w:val="left"/>
              <w:rPr/>
            </w:pPr>
            <w:r>
              <w:rPr/>
              <w:t xml:space="preserve">Ordinary shares, no par value, reserved for issuance under the Rail Vision Ltd. Amended Share Option Plan </w:t>
            </w:r>
          </w:p>
        </w:tc>
        <w:tc>
          <w:tcPr>
            <w:tcW w:w="1291"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270,000 </w:t>
            </w:r>
          </w:p>
        </w:tc>
        <w:tc>
          <w:tcPr>
            <w:tcW w:w="1209" w:type="dxa"/>
            <w:tcBorders/>
            <w:shd w:fill="E7E7E2" w:val="clear"/>
            <w:vAlign w:val="center"/>
          </w:tcPr>
          <w:p>
            <w:pPr>
              <w:pStyle w:val="TableContents"/>
              <w:bidi w:val="0"/>
              <w:spacing w:before="0" w:after="283"/>
              <w:jc w:val="right"/>
              <w:rPr/>
            </w:pPr>
            <w:r>
              <w:rPr/>
              <w:t xml:space="preserve">$ 4.10 </w:t>
            </w:r>
          </w:p>
        </w:tc>
        <w:tc>
          <w:tcPr>
            <w:tcW w:w="1580" w:type="dxa"/>
            <w:tcBorders/>
            <w:shd w:fill="E7E7E2" w:val="clear"/>
            <w:vAlign w:val="center"/>
          </w:tcPr>
          <w:p>
            <w:pPr>
              <w:pStyle w:val="TableContents"/>
              <w:bidi w:val="0"/>
              <w:spacing w:before="0" w:after="283"/>
              <w:jc w:val="right"/>
              <w:rPr/>
            </w:pPr>
            <w:r>
              <w:rPr/>
              <w:t xml:space="preserve">$ 1,107,000.00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$ 152.88 </w:t>
            </w:r>
          </w:p>
        </w:tc>
      </w:tr>
      <w:tr>
        <w:trPr/>
        <w:tc>
          <w:tcPr>
            <w:tcW w:w="4864" w:type="dxa"/>
            <w:gridSpan w:val="5"/>
            <w:tcBorders/>
            <w:vAlign w:val="center"/>
          </w:tcPr>
          <w:p>
            <w:pPr>
              <w:pStyle w:val="TableContents"/>
              <w:bidi w:val="0"/>
              <w:spacing w:before="0" w:after="0"/>
              <w:ind w:left="0" w:right="0" w:hanging="0"/>
              <w:jc w:val="right"/>
              <w:rPr/>
            </w:pPr>
            <w:r>
              <w:rPr/>
              <w:t>Total Offering Amounts:</w:t>
            </w:r>
          </w:p>
        </w:tc>
        <w:tc>
          <w:tcPr>
            <w:tcW w:w="12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0"/>
              <w:ind w:left="0" w:right="0" w:hanging="0"/>
              <w:jc w:val="right"/>
              <w:rPr/>
            </w:pPr>
            <w:bookmarkStart w:id="11" w:name="MaxAggtOfferingPrice"/>
            <w:bookmarkEnd w:id="11"/>
            <w:r>
              <w:rPr/>
              <w:t xml:space="preserve">$ 1,107,000.00 </w:t>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$ 152.88 </w:t>
            </w:r>
          </w:p>
        </w:tc>
      </w:tr>
      <w:tr>
        <w:trPr/>
        <w:tc>
          <w:tcPr>
            <w:tcW w:w="4864" w:type="dxa"/>
            <w:gridSpan w:val="5"/>
            <w:tcBorders/>
            <w:vAlign w:val="center"/>
          </w:tcPr>
          <w:p>
            <w:pPr>
              <w:pStyle w:val="TableContents"/>
              <w:bidi w:val="0"/>
              <w:spacing w:before="0" w:after="0"/>
              <w:ind w:left="0" w:right="0" w:hanging="0"/>
              <w:jc w:val="right"/>
              <w:rPr/>
            </w:pPr>
            <w:r>
              <w:rPr/>
              <w:t xml:space="preserve">Total Fee Offsets: </w:t>
            </w:r>
          </w:p>
        </w:tc>
        <w:tc>
          <w:tcPr>
            <w:tcW w:w="12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64" w:type="dxa"/>
            <w:gridSpan w:val="5"/>
            <w:tcBorders/>
            <w:vAlign w:val="center"/>
          </w:tcPr>
          <w:p>
            <w:pPr>
              <w:pStyle w:val="TableContents"/>
              <w:bidi w:val="0"/>
              <w:spacing w:before="0" w:after="0"/>
              <w:ind w:left="0" w:right="0" w:hanging="0"/>
              <w:jc w:val="right"/>
              <w:rPr/>
            </w:pPr>
            <w:r>
              <w:rPr/>
              <w:t xml:space="preserve">Net Fee Due: </w:t>
            </w:r>
          </w:p>
        </w:tc>
        <w:tc>
          <w:tcPr>
            <w:tcW w:w="12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4" w:name="NetFeeAmt"/>
            <w:bookmarkEnd w:id="14"/>
            <w:r>
              <w:rPr/>
              <w:t xml:space="preserve">$ 152.88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(the "Registration Statement") shall also cover any additional ordinary shares that become issuable under the Rail Vision Ltd. Amended Share Option Plan, as amended and ratified on March 28, 2024 (the "Plan") by reason of any stock dividend, stock split, recapitalization or other similar transaction. Represents Ordinary Shares reserved for issuance upon the exercise of options and restricted share units that may be granted under the Plan to which this Registration Statement relates. The proposed maximum offering price per share is calculated in accordance with Rules 457(c) and 457(h) under the Securities Act, solely for purposes of calculating the registration fee on the basis of $4.1 per share, the average of the high and low price of the Registrant's ordinary shares as reported on the Nasdaq Capital Market on September 9,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905/000149315226014134/form20-f.htm" TargetMode="External"/><Relationship Id="rId3" Type="http://schemas.openxmlformats.org/officeDocument/2006/relationships/hyperlink" Target="https://www.sec.gov/Archives/edgar/data/1743905/000149315226000590/form6-k.htm" TargetMode="External"/><Relationship Id="rId4" Type="http://schemas.openxmlformats.org/officeDocument/2006/relationships/hyperlink" Target="https://www.sec.gov/Archives/edgar/data/1743905/000149315226002250/form6-k.htm" TargetMode="External"/><Relationship Id="rId5" Type="http://schemas.openxmlformats.org/officeDocument/2006/relationships/hyperlink" Target="https://www.sec.gov/Archives/edgar/data/1743905/000149315226002419/form6-k.htm" TargetMode="External"/><Relationship Id="rId6" Type="http://schemas.openxmlformats.org/officeDocument/2006/relationships/hyperlink" Target="https://www.sec.gov/Archives/edgar/data/1743905/000149315226004501/form6-k.htm" TargetMode="External"/><Relationship Id="rId7" Type="http://schemas.openxmlformats.org/officeDocument/2006/relationships/hyperlink" Target="https://www.sec.gov/Archives/edgar/data/1743905/000149315226005550/form6-k.htm" TargetMode="External"/><Relationship Id="rId8" Type="http://schemas.openxmlformats.org/officeDocument/2006/relationships/hyperlink" Target="https://www.sec.gov/Archives/edgar/data/1743905/000149315226006198/form6-k.htm" TargetMode="External"/><Relationship Id="rId9" Type="http://schemas.openxmlformats.org/officeDocument/2006/relationships/hyperlink" Target="https://www.sec.gov/Archives/edgar/data/1743905/000149315226007747/form6-k.htm" TargetMode="External"/><Relationship Id="rId10" Type="http://schemas.openxmlformats.org/officeDocument/2006/relationships/hyperlink" Target="https://www.sec.gov/Archives/edgar/data/1743905/000149315226007875/form6-k.htm" TargetMode="External"/><Relationship Id="rId11" Type="http://schemas.openxmlformats.org/officeDocument/2006/relationships/hyperlink" Target="https://www.sec.gov/Archives/edgar/data/1743905/000149315226009137/form6-k.htm" TargetMode="External"/><Relationship Id="rId12" Type="http://schemas.openxmlformats.org/officeDocument/2006/relationships/hyperlink" Target="https://www.sec.gov/Archives/edgar/data/1743905/000149315226010254/form6-k.htm" TargetMode="External"/><Relationship Id="rId13" Type="http://schemas.openxmlformats.org/officeDocument/2006/relationships/hyperlink" Target="https://www.sec.gov/Archives/edgar/data/1743905/000149315226012356/form6-k.htm" TargetMode="External"/><Relationship Id="rId14" Type="http://schemas.openxmlformats.org/officeDocument/2006/relationships/hyperlink" Target="https://www.sec.gov/Archives/edgar/data/1743905/000149315226014155/form6-k.htm" TargetMode="External"/><Relationship Id="rId15" Type="http://schemas.openxmlformats.org/officeDocument/2006/relationships/hyperlink" Target="https://www.sec.gov/Archives/edgar/data/1743905/000149315226024595/form6-k.htm" TargetMode="External"/><Relationship Id="rId16" Type="http://schemas.openxmlformats.org/officeDocument/2006/relationships/hyperlink" Target="https://www.sec.gov/Archives/edgar/data/1743905/000149315226026343/form6-k.htm" TargetMode="External"/><Relationship Id="rId17" Type="http://schemas.openxmlformats.org/officeDocument/2006/relationships/hyperlink" Target="https://www.sec.gov/Archives/edgar/data/1743905/000149315226027038/form6-k.htm" TargetMode="External"/><Relationship Id="rId18" Type="http://schemas.openxmlformats.org/officeDocument/2006/relationships/hyperlink" Target="https://www.sec.gov/Archives/edgar/data/1743905/000149315226029917/form6-k.htm" TargetMode="External"/><Relationship Id="rId19" Type="http://schemas.openxmlformats.org/officeDocument/2006/relationships/hyperlink" Target="https://www.sec.gov/Archives/edgar/data/1743905/000149315226040162/form6-k.htm" TargetMode="External"/><Relationship Id="rId20" Type="http://schemas.openxmlformats.org/officeDocument/2006/relationships/hyperlink" Target="https://www.sec.gov/Archives/edgar/data/1743905/000149315226041360/form6-k.htm" TargetMode="External"/><Relationship Id="rId21" Type="http://schemas.openxmlformats.org/officeDocument/2006/relationships/hyperlink" Target="https://www.sec.gov/Archives/edgar/data/1743905/000149315226041958/form6-k.htm" TargetMode="External"/><Relationship Id="rId22" Type="http://schemas.openxmlformats.org/officeDocument/2006/relationships/hyperlink" Target="https://www.sec.gov/Archives/edgar/data/1743905/000121390022015148/ea157411-8a12b_railvision.htm" TargetMode="External"/><Relationship Id="rId23" Type="http://schemas.openxmlformats.org/officeDocument/2006/relationships/hyperlink" Target="https://www.sec.gov/Archives/edgar/data/1743905/000149315226014134/ex2-1.htm" TargetMode="External"/><Relationship Id="rId24" Type="http://schemas.openxmlformats.org/officeDocument/2006/relationships/hyperlink" Target="https://www.sec.gov/Archives/edgar/data/1743905/000121390024083368/ea021607201ex99-1_railvision.htm" TargetMode="External"/><Relationship Id="rId25" Type="http://schemas.openxmlformats.org/officeDocument/2006/relationships/hyperlink" Target="https://www.sec.gov/Archives/edgar/data/1743905/000121390024027359/ea020258401ex4-4_railvision.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2547</Words>
  <Characters>13492</Characters>
  <CharactersWithSpaces>16116</CharactersWithSpaces>
  <Paragraphs>430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