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Shahar Hania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Rail Vision Ltd.</w:t>
      </w:r>
    </w:p>
    <w:p>
      <w:pPr>
        <w:ind w:left="740"/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 Ha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Tidhar Street</w:t>
      </w:r>
    </w:p>
    <w:p>
      <w:pPr>
        <w:ind w:left="740"/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anana, 4366517 Israel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Rail Vision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1743905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Hania: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F-1, Amendment No. 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Company, page 1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here and on page 36 that your technology "is"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reconcile your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900" w:space="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revolutionizing railway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safety, with your disclosure on page 44 that your company "is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seeking to"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right"/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revolutionize railway safety. Your disclosure throughout should consistently reflect the stage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product development and deployment, and to the extent you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your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already revolutionizing the industry, please revise to state it as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belief or provide us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support for your statements that your technology is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revolutionizing railway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 w:right="29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safety. Alternatively, revise to clarify that this is a goal you are Shahar Hania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Rail VisionLastNameShahar Hania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Comapany8,NameRail</w:t>
      </w:r>
    </w:p>
    <w:p>
      <w:pPr>
        <w:spacing w:after="0"/>
        <w:tabs>
          <w:tab w:leader="none" w:pos="1260" w:val="left"/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Vision Ltd.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8, 2022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seeking for your technology. Similarly, revise to state that it is your belief that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 is "cutting edge" and "industry-leading" or provide additional support for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statements.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one of the opening paragraphs, please include your revenues and net losses for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 recent audited period and interim stub to provide a financial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snapshot of your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Risks Related to this Offering and the Ownership of Our Ordinary Shares, page 4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update, prior to effectiveness, to also disclose the percentage of shares to be owned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your principal shareholders, officers and directors following this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report of our independent registered public accounting firm contains an explanatory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paragraph, page 10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reconcile your disclosure here that "[t]o date, we have not generated revenues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activities", with your disclosure on page 9 and elsewhere that your first revenues were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recorded in your unaudited interim condensed financial statements for the period ended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30, 2021.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market price of our Ordinary Shares may be highly volatile, page 25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26 that the stock market in general, and the stock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publicly-traded "medical device companies" in particular, have experienced extreme price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volume fluctuations. Please advise how the market for medical devise companies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impacts your business or revise. Capitalization, page 33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capitalization table to present amounts related to your capitalization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indebtedness in accordance with Item 3.B of Form 20-F. In this regard, we note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included total assets and total liabilities in your table which is confusing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unrelated to capitalization and indebtedness. Also, we note your presentation of cash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equivalents in your table. Such amounts should be separately presented. Please revise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presentation accordingly.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shareholders' equity section to provide the number of share capital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authorized, issued and outstanding on an actual, pro forma and pro forma as adjusted basis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period presented. Dilution, page 34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first paragraph and your computation of net tangible book value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share as of June 30, 2021. It appears your actual net tangible book value should be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deficit of approximately $(3.2) million, or $(15.61) per ordinary share. Further,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75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Shahar Hania FirstName</w:t>
      </w:r>
    </w:p>
    <w:p>
      <w:pPr>
        <w:ind w:left="1280" w:right="6859" w:hanging="1264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Rail VisionLastNameShahar Hania Ltd.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Comapany8,NameRail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2022 Vision Ltd. February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8, 2022 Page 3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to the second paragraph, it appears the pro forma net tangible book value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per share should be $6.7 million and $25.89 per ordinary share, respectively.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as to your computations, including the amount of any intangible assets,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disclosures accordingly.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footnote (1) disclosure regarding the number of Ordinary Shares you will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to issue pursuant to an anti-dilution provision. Please describe the anti-dilution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and explain how such anti-dilutive shares are reflective in the computation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dilution per Ordinary Share to new investors.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Overview and Market Opportunity, page 45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disclose train incident and accident data from 2015, 2016 and 2017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section. Please update the data to the most recent practicable date, or advise why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these particular years are most relevant for investors. Competition, page 53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regarding your competitors and your belief that your railway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detection system's contribution to train safety will be greater than that of existing railway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detection systems by your competitors. Please substantiate this statement or balance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by stating here that you are a development-stage company, that your products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still in development, and discuss your current competitive position within the industry.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provide additional support for your statement that your competitors offer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shorter range-detection distance and provide a lower detection probability of obstacles,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state as your belief. In this regard, we note your disclosure on page 55 that much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competitor information has been provided from publications by the various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competitors, and has not been independently verified by you, so it seems plausible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competitors could be developing additional technologies or features not yet publicly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available. As such, please prominently disclose that the competitive analysis provided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beliefs or delete the chart at page 55. Committees of the Board of Directors, page 69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risk factor disclosure on page 16 related to potential cybersecurity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incidents. To the extent cybersecurity risks are material to your business, please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here, or in another appropriately captioned section, the nature of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role 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overseeing your cybersecurity risk management, the manner in which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will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administer this oversight function and any effect this will have on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board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leadership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structure.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Relationships, page 79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 do business with "other companies affiliated with [y]our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3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Shahar Hania Rail Vision Ltd. February 8, 2022 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shareholders" and that "such arrangements have been entered into in the ordinary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course of business." Please confirm that you have provided disclosure for all transactions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59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Item 7.B of Form 20-F. Interim Condensed Financial Statements Interim Condensed Balance Sheets, page F-2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your presentation of pro forma information on the face of the historical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sheets and the related footnote on page F-7. Pro forma basic and diluted loss per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presented on the face of your statements of operations on page F-3 should also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removed. We refer you to the guidance outlined in Rule 11-02(a)(12)(i) of Regulation S-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Exhibits and Financial Statement Schedules, page II-3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as an exhibit your Strategic Partnership Agreement with Knorr-Bremse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discussed on page 52 or provide your analysis as to why you believe it is not required.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provide us copies of all written communications, as defined in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Act, that you, or anyone authorized to do so on your behalf, present to potential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reliance on Section 5(d) of the Securities Act, whether or not they retain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copies of the communications. Please contact the staff member associated with the review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filing to discuss how to submit such copies.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Beverly Singleton at 202-551-3328 or Jean Yu at 202-551-3305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John Stickel at 202-551-3324 or Susan Block at 202-551-3210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LastNameShahar Hania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NameRail Vision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36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February 8, 2022 Page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3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2022-05-02T23:21:03Z</dcterms:created>
  <dcterms:modified xsi:type="dcterms:W3CDTF">2022-05-02T23:21:03Z</dcterms:modified>
</cp:coreProperties>
</file>